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9C4B0" w14:textId="1BC8544E" w:rsidR="00C54D99" w:rsidRPr="00304FAE" w:rsidRDefault="00C54D99" w:rsidP="00304FAE">
      <w:pPr>
        <w:jc w:val="both"/>
        <w:rPr>
          <w:b/>
          <w:bCs/>
          <w:color w:val="2A2A2A"/>
        </w:rPr>
      </w:pPr>
      <w:r w:rsidRPr="00304FAE">
        <w:rPr>
          <w:b/>
          <w:bCs/>
          <w:color w:val="2A2A2A"/>
        </w:rPr>
        <w:t>Baltic Journal of Law &amp; Politics</w:t>
      </w:r>
    </w:p>
    <w:p w14:paraId="642FE09A" w14:textId="77777777" w:rsidR="00C54D99" w:rsidRPr="00304FAE" w:rsidRDefault="00C54D99" w:rsidP="00304FAE">
      <w:pPr>
        <w:jc w:val="both"/>
        <w:rPr>
          <w:b/>
          <w:bCs/>
          <w:color w:val="2A2A2A"/>
        </w:rPr>
      </w:pPr>
    </w:p>
    <w:p w14:paraId="27799BCE" w14:textId="51DB4697" w:rsidR="00C54D99" w:rsidRPr="00304FAE" w:rsidRDefault="00C54D99" w:rsidP="00304FAE">
      <w:pPr>
        <w:jc w:val="both"/>
        <w:rPr>
          <w:b/>
          <w:bCs/>
          <w:color w:val="2A2A2A"/>
        </w:rPr>
      </w:pPr>
      <w:r w:rsidRPr="00304FAE">
        <w:rPr>
          <w:b/>
          <w:bCs/>
          <w:color w:val="2A2A2A"/>
        </w:rPr>
        <w:t xml:space="preserve">Call for Papers </w:t>
      </w:r>
    </w:p>
    <w:p w14:paraId="1C70DFFA" w14:textId="77777777" w:rsidR="00C54D99" w:rsidRPr="00304FAE" w:rsidRDefault="00C54D99" w:rsidP="00304FAE">
      <w:pPr>
        <w:jc w:val="both"/>
        <w:rPr>
          <w:b/>
          <w:bCs/>
          <w:color w:val="2A2A2A"/>
        </w:rPr>
      </w:pPr>
    </w:p>
    <w:p w14:paraId="7F5B08CC" w14:textId="5E4BB11D" w:rsidR="00C54D99" w:rsidRPr="00B72FC3" w:rsidRDefault="00C54D99" w:rsidP="00304FAE">
      <w:pPr>
        <w:jc w:val="both"/>
        <w:rPr>
          <w:i/>
          <w:iCs/>
          <w:color w:val="2A2A2A"/>
        </w:rPr>
      </w:pPr>
      <w:r w:rsidRPr="00304FAE">
        <w:rPr>
          <w:color w:val="2A2A2A"/>
        </w:rPr>
        <w:t xml:space="preserve">Special Issue on </w:t>
      </w:r>
      <w:r w:rsidRPr="00F31812">
        <w:rPr>
          <w:i/>
          <w:iCs/>
          <w:color w:val="2A2A2A"/>
        </w:rPr>
        <w:t>Constitutional Resilience</w:t>
      </w:r>
      <w:r w:rsidR="00B72FC3" w:rsidRPr="00F31812">
        <w:rPr>
          <w:i/>
          <w:iCs/>
          <w:color w:val="2A2A2A"/>
        </w:rPr>
        <w:t xml:space="preserve"> in Central and Eastern Europe</w:t>
      </w:r>
    </w:p>
    <w:p w14:paraId="626D6794" w14:textId="3800DD8A" w:rsidR="00C54D99" w:rsidRPr="00304FAE" w:rsidRDefault="00C54D99" w:rsidP="00304FAE">
      <w:pPr>
        <w:jc w:val="both"/>
        <w:rPr>
          <w:color w:val="2A2A2A"/>
        </w:rPr>
      </w:pPr>
    </w:p>
    <w:p w14:paraId="6454027E" w14:textId="1A2B8125" w:rsidR="00C54D99" w:rsidRPr="00304FAE" w:rsidRDefault="00C54D99" w:rsidP="00304FAE">
      <w:pPr>
        <w:jc w:val="both"/>
        <w:rPr>
          <w:color w:val="2A2A2A"/>
        </w:rPr>
      </w:pPr>
      <w:r w:rsidRPr="00304FAE">
        <w:rPr>
          <w:color w:val="2A2A2A"/>
        </w:rPr>
        <w:t>Deadline for submissions: 1 September 2026</w:t>
      </w:r>
    </w:p>
    <w:p w14:paraId="06E85FDB" w14:textId="77777777" w:rsidR="00304FAE" w:rsidRPr="00304FAE" w:rsidRDefault="00304FAE" w:rsidP="00304FAE">
      <w:pPr>
        <w:jc w:val="both"/>
        <w:rPr>
          <w:color w:val="2A2A2A"/>
        </w:rPr>
      </w:pPr>
    </w:p>
    <w:p w14:paraId="34B31F62" w14:textId="29F26BAF" w:rsidR="00304FAE" w:rsidRDefault="00304FAE" w:rsidP="00304FAE">
      <w:pPr>
        <w:jc w:val="both"/>
        <w:rPr>
          <w:color w:val="2A2A2A"/>
        </w:rPr>
      </w:pPr>
      <w:r w:rsidRPr="00304FAE">
        <w:rPr>
          <w:color w:val="2A2A2A"/>
        </w:rPr>
        <w:t xml:space="preserve">The </w:t>
      </w:r>
      <w:r w:rsidRPr="00304FAE">
        <w:rPr>
          <w:b/>
          <w:bCs/>
          <w:color w:val="2A2A2A"/>
        </w:rPr>
        <w:t>Baltic Journal of Law &amp; Politics</w:t>
      </w:r>
      <w:r w:rsidRPr="00304FAE">
        <w:rPr>
          <w:color w:val="2A2A2A"/>
        </w:rPr>
        <w:t xml:space="preserve"> invites high-quality scholarly contributions for a special issue on </w:t>
      </w:r>
      <w:r w:rsidR="00B72FC3" w:rsidRPr="00F31812">
        <w:rPr>
          <w:b/>
          <w:bCs/>
          <w:color w:val="2A2A2A"/>
        </w:rPr>
        <w:t>Constitutional Resilience in Central and Eastern Europe</w:t>
      </w:r>
      <w:r w:rsidRPr="00F31812">
        <w:rPr>
          <w:color w:val="2A2A2A"/>
        </w:rPr>
        <w:t>.</w:t>
      </w:r>
    </w:p>
    <w:p w14:paraId="04690B96" w14:textId="77777777" w:rsidR="007D1C5E" w:rsidRDefault="007D1C5E" w:rsidP="00304FAE">
      <w:pPr>
        <w:jc w:val="both"/>
        <w:rPr>
          <w:color w:val="2A2A2A"/>
        </w:rPr>
      </w:pPr>
    </w:p>
    <w:p w14:paraId="665A3BFE" w14:textId="24FE6F3D" w:rsidR="007D1C5E" w:rsidRDefault="007D1C5E" w:rsidP="00304FAE">
      <w:pPr>
        <w:jc w:val="both"/>
        <w:rPr>
          <w:color w:val="2A2A2A"/>
        </w:rPr>
      </w:pPr>
      <w:r w:rsidRPr="007D1C5E">
        <w:rPr>
          <w:color w:val="2A2A2A"/>
        </w:rPr>
        <w:t xml:space="preserve">Over the past decade, constitutional democracies across Europe and beyond have been </w:t>
      </w:r>
      <w:r>
        <w:rPr>
          <w:color w:val="2A2A2A"/>
        </w:rPr>
        <w:t>confronted with</w:t>
      </w:r>
      <w:r w:rsidRPr="007D1C5E">
        <w:rPr>
          <w:color w:val="2A2A2A"/>
        </w:rPr>
        <w:t xml:space="preserve"> overlapping challenges, including democratic backsliding,</w:t>
      </w:r>
      <w:r>
        <w:rPr>
          <w:color w:val="2A2A2A"/>
        </w:rPr>
        <w:t xml:space="preserve"> prolonged</w:t>
      </w:r>
      <w:r w:rsidRPr="007D1C5E">
        <w:rPr>
          <w:color w:val="2A2A2A"/>
        </w:rPr>
        <w:t xml:space="preserve"> states of emergency, security threats, armed conflict</w:t>
      </w:r>
      <w:r>
        <w:rPr>
          <w:color w:val="2A2A2A"/>
        </w:rPr>
        <w:t>s</w:t>
      </w:r>
      <w:r w:rsidRPr="007D1C5E">
        <w:rPr>
          <w:color w:val="2A2A2A"/>
        </w:rPr>
        <w:t xml:space="preserve"> and public health crises. Unlike abrupt authoritarian ruptures, many of these developments take the form of gradual constitutional erosion, unfolding through formally legal means and often justified in the language of democracy itself. In response, the concept of constitutional resilience has gained prominence as a way of describing the capacity of constitutional systems to withstand, absorb and respond to such pressures without abandoning their democratic and rule-of-law foundations.</w:t>
      </w:r>
    </w:p>
    <w:p w14:paraId="12F36D44" w14:textId="77777777" w:rsidR="007D1C5E" w:rsidRPr="00304FAE" w:rsidRDefault="007D1C5E" w:rsidP="00304FAE">
      <w:pPr>
        <w:jc w:val="both"/>
        <w:rPr>
          <w:color w:val="2A2A2A"/>
        </w:rPr>
      </w:pPr>
    </w:p>
    <w:p w14:paraId="5FFC1A3D" w14:textId="3D69F0B7" w:rsidR="007D1C5E" w:rsidRPr="007D1C5E" w:rsidRDefault="00304FAE" w:rsidP="00304FAE">
      <w:pPr>
        <w:jc w:val="both"/>
        <w:rPr>
          <w:rFonts w:ascii="-webkit-standard" w:hAnsi="-webkit-standard"/>
          <w:color w:val="000000"/>
          <w:sz w:val="27"/>
          <w:szCs w:val="27"/>
        </w:rPr>
      </w:pPr>
      <w:r w:rsidRPr="00304FAE">
        <w:rPr>
          <w:color w:val="2A2A2A"/>
        </w:rPr>
        <w:t>While constitutional resilience is increasingly invoked in legal and political discourse, its meaning, normative foundations and practical implications remain contested. In particular, the relationship between constitutional resilience and states of exception, defensi</w:t>
      </w:r>
      <w:r w:rsidRPr="007D1C5E">
        <w:rPr>
          <w:color w:val="2A2A2A"/>
        </w:rPr>
        <w:t xml:space="preserve">ve (militant) democracy and processes of democratic erosion raise pressing and unresolved questions. Measures adopted to protect constitutional democracy may themselves </w:t>
      </w:r>
      <w:r w:rsidR="007D1C5E" w:rsidRPr="007D1C5E">
        <w:rPr>
          <w:color w:val="000000"/>
        </w:rPr>
        <w:t>contribute to democratic hollowing, the normalization of exceptional governance or the erosion of liberal constitutionalism from within.</w:t>
      </w:r>
    </w:p>
    <w:p w14:paraId="7F21A40F" w14:textId="77777777" w:rsidR="007D1C5E" w:rsidRPr="00304FAE" w:rsidRDefault="007D1C5E" w:rsidP="00304FAE">
      <w:pPr>
        <w:jc w:val="both"/>
        <w:rPr>
          <w:color w:val="2A2A2A"/>
        </w:rPr>
      </w:pPr>
    </w:p>
    <w:p w14:paraId="72C249EF" w14:textId="5921B8CD" w:rsidR="001C6DFD" w:rsidRPr="00B72FC3" w:rsidRDefault="00304FAE" w:rsidP="00304FAE">
      <w:pPr>
        <w:jc w:val="both"/>
        <w:rPr>
          <w:color w:val="2A2A2A"/>
        </w:rPr>
      </w:pPr>
      <w:r w:rsidRPr="00304FAE">
        <w:rPr>
          <w:color w:val="2A2A2A"/>
        </w:rPr>
        <w:t xml:space="preserve">These tensions are especially visible in Central and Eastern Europe (CEE), where constitutional </w:t>
      </w:r>
      <w:r w:rsidRPr="00B72FC3">
        <w:rPr>
          <w:color w:val="2A2A2A"/>
        </w:rPr>
        <w:t>systems continue to grapple with the legacies of authoritarianism, fragile constitutional cultures, contested understandings of constitutional identity and uneven commitments to liberal democracy.</w:t>
      </w:r>
      <w:r w:rsidR="00B72FC3" w:rsidRPr="00B72FC3">
        <w:rPr>
          <w:color w:val="2A2A2A"/>
        </w:rPr>
        <w:t xml:space="preserve"> </w:t>
      </w:r>
      <w:r w:rsidR="00B72FC3" w:rsidRPr="00F31812">
        <w:rPr>
          <w:color w:val="2A2A2A"/>
        </w:rPr>
        <w:t>The Baltic and other countries in the region are particularly affected by neighbouring states that seek to influence their democratic systems.</w:t>
      </w:r>
    </w:p>
    <w:p w14:paraId="39E47773" w14:textId="77777777" w:rsidR="001C6DFD" w:rsidRDefault="001C6DFD" w:rsidP="00304FAE">
      <w:pPr>
        <w:jc w:val="both"/>
        <w:rPr>
          <w:color w:val="2A2A2A"/>
        </w:rPr>
      </w:pPr>
    </w:p>
    <w:p w14:paraId="5432ECB8" w14:textId="50057C79" w:rsidR="007D1C5E" w:rsidRDefault="001C6DFD" w:rsidP="00304FAE">
      <w:pPr>
        <w:jc w:val="both"/>
        <w:rPr>
          <w:color w:val="2A2A2A"/>
        </w:rPr>
      </w:pPr>
      <w:r w:rsidRPr="001C6DFD">
        <w:rPr>
          <w:color w:val="2A2A2A"/>
        </w:rPr>
        <w:t>This special issue seeks to advance a comparative and critical examination of constitutional resilience, with particular attention to CEE states, democratic emergency powers, constitutional self-defence and the role of supranational legal orders. It invites contributions that explore not only how constitutional systems attempt to defend themselves, but also what exactly is being defended, by which means, and at what democratic cost.</w:t>
      </w:r>
    </w:p>
    <w:p w14:paraId="76DBC87F" w14:textId="77777777" w:rsidR="001C6DFD" w:rsidRDefault="001C6DFD" w:rsidP="00304FAE">
      <w:pPr>
        <w:jc w:val="both"/>
        <w:rPr>
          <w:color w:val="2A2A2A"/>
        </w:rPr>
      </w:pPr>
    </w:p>
    <w:p w14:paraId="053E7EAF" w14:textId="0047E9D6" w:rsidR="001C6DFD" w:rsidRDefault="001C6DFD" w:rsidP="00304FAE">
      <w:pPr>
        <w:jc w:val="both"/>
        <w:rPr>
          <w:color w:val="2A2A2A"/>
        </w:rPr>
      </w:pPr>
      <w:r w:rsidRPr="001C6DFD">
        <w:rPr>
          <w:color w:val="2A2A2A"/>
        </w:rPr>
        <w:t xml:space="preserve">Constitutional resilience may be pursued through judicial review, entrenched rights, separation of powers, constitutional culture, </w:t>
      </w:r>
      <w:r w:rsidRPr="00304FAE">
        <w:rPr>
          <w:color w:val="2A2A2A"/>
        </w:rPr>
        <w:t>civil society mobilisation</w:t>
      </w:r>
      <w:r>
        <w:rPr>
          <w:color w:val="2A2A2A"/>
        </w:rPr>
        <w:t xml:space="preserve"> </w:t>
      </w:r>
      <w:r w:rsidRPr="001C6DFD">
        <w:rPr>
          <w:color w:val="2A2A2A"/>
        </w:rPr>
        <w:t>and networks of independent institutions, as well as through supranational constraints such as European Union law. At the same time, resilience strategies may rely on restrictive measures, including emergency powers, limitations on political participation or doctrines of militant democracy. This special issue aims to interrogate the boundary between legitimate constitutional self-defence and democratic erosion, and to assess whether resilience strategies ultimately reinforce or undermine liberal constitutional democracy.</w:t>
      </w:r>
    </w:p>
    <w:p w14:paraId="0AD17F11" w14:textId="77777777" w:rsidR="007D1C5E" w:rsidRDefault="007D1C5E" w:rsidP="00304FAE">
      <w:pPr>
        <w:jc w:val="both"/>
        <w:rPr>
          <w:color w:val="2A2A2A"/>
        </w:rPr>
      </w:pPr>
    </w:p>
    <w:p w14:paraId="02F9A3B0" w14:textId="2863BB9D" w:rsidR="00304FAE" w:rsidRDefault="001C6DFD" w:rsidP="00304FAE">
      <w:pPr>
        <w:jc w:val="both"/>
        <w:rPr>
          <w:color w:val="2A2A2A"/>
        </w:rPr>
      </w:pPr>
      <w:r w:rsidRPr="001C6DFD">
        <w:rPr>
          <w:color w:val="2A2A2A"/>
        </w:rPr>
        <w:t xml:space="preserve">The special issue particularly encourages contributions addressing constitutional resilience in Central and </w:t>
      </w:r>
      <w:r w:rsidRPr="00F31812">
        <w:rPr>
          <w:color w:val="2A2A2A"/>
        </w:rPr>
        <w:t>Eastern Europe,</w:t>
      </w:r>
      <w:r w:rsidR="00B72FC3" w:rsidRPr="00F31812">
        <w:rPr>
          <w:color w:val="2A2A2A"/>
        </w:rPr>
        <w:t xml:space="preserve"> especially, Estonia, Latvia, Lithuanian and Poland,</w:t>
      </w:r>
      <w:r w:rsidRPr="00F31812">
        <w:rPr>
          <w:color w:val="2A2A2A"/>
        </w:rPr>
        <w:t xml:space="preserve"> while</w:t>
      </w:r>
      <w:r w:rsidRPr="001C6DFD">
        <w:rPr>
          <w:color w:val="2A2A2A"/>
        </w:rPr>
        <w:t xml:space="preserve"> remaining open to broader comparative perspectives, including transatlantic and global analyses.</w:t>
      </w:r>
    </w:p>
    <w:p w14:paraId="6B226C0F" w14:textId="77777777" w:rsidR="001C6DFD" w:rsidRDefault="001C6DFD" w:rsidP="00304FAE">
      <w:pPr>
        <w:jc w:val="both"/>
        <w:rPr>
          <w:color w:val="2A2A2A"/>
        </w:rPr>
      </w:pPr>
    </w:p>
    <w:p w14:paraId="217983D4" w14:textId="77777777" w:rsidR="001C6DFD" w:rsidRPr="001C6DFD" w:rsidRDefault="001C6DFD" w:rsidP="001C6DFD">
      <w:pPr>
        <w:jc w:val="both"/>
        <w:rPr>
          <w:b/>
          <w:bCs/>
          <w:color w:val="2A2A2A"/>
        </w:rPr>
      </w:pPr>
      <w:r w:rsidRPr="001C6DFD">
        <w:rPr>
          <w:b/>
          <w:bCs/>
          <w:color w:val="2A2A2A"/>
        </w:rPr>
        <w:t>Topics of Interest</w:t>
      </w:r>
    </w:p>
    <w:p w14:paraId="2554E0D6" w14:textId="77777777" w:rsidR="001C6DFD" w:rsidRPr="001C6DFD" w:rsidRDefault="001C6DFD" w:rsidP="001C6DFD">
      <w:pPr>
        <w:jc w:val="both"/>
        <w:rPr>
          <w:color w:val="2A2A2A"/>
        </w:rPr>
      </w:pPr>
    </w:p>
    <w:p w14:paraId="4DC31BDB" w14:textId="77777777" w:rsidR="001C6DFD" w:rsidRDefault="001C6DFD" w:rsidP="001C6DFD">
      <w:pPr>
        <w:jc w:val="both"/>
        <w:rPr>
          <w:color w:val="2A2A2A"/>
        </w:rPr>
      </w:pPr>
      <w:r w:rsidRPr="001C6DFD">
        <w:rPr>
          <w:color w:val="2A2A2A"/>
        </w:rPr>
        <w:t>We invite submissions engaging with, but not limited to, the following questions:</w:t>
      </w:r>
    </w:p>
    <w:p w14:paraId="3B8045A6" w14:textId="77777777" w:rsidR="001C6DFD" w:rsidRPr="001C6DFD" w:rsidRDefault="001C6DFD" w:rsidP="001C6DFD">
      <w:pPr>
        <w:jc w:val="both"/>
        <w:rPr>
          <w:color w:val="2A2A2A"/>
        </w:rPr>
      </w:pPr>
    </w:p>
    <w:p w14:paraId="5110711B" w14:textId="6DBBD2B7" w:rsidR="001C6DFD" w:rsidRPr="001C6DFD" w:rsidRDefault="001C6DFD" w:rsidP="001C6DFD">
      <w:pPr>
        <w:pStyle w:val="ListParagraph"/>
        <w:numPr>
          <w:ilvl w:val="0"/>
          <w:numId w:val="5"/>
        </w:numPr>
        <w:jc w:val="both"/>
        <w:rPr>
          <w:color w:val="2A2A2A"/>
        </w:rPr>
      </w:pPr>
      <w:r w:rsidRPr="001C6DFD">
        <w:rPr>
          <w:color w:val="2A2A2A"/>
        </w:rPr>
        <w:t>How should constitutional resilience be conceptualised</w:t>
      </w:r>
      <w:r>
        <w:rPr>
          <w:color w:val="2A2A2A"/>
        </w:rPr>
        <w:t xml:space="preserve"> and </w:t>
      </w:r>
      <w:r w:rsidRPr="007D1C5E">
        <w:rPr>
          <w:color w:val="2A2A2A"/>
        </w:rPr>
        <w:t>how does it intersect with democra</w:t>
      </w:r>
      <w:r>
        <w:rPr>
          <w:color w:val="2A2A2A"/>
        </w:rPr>
        <w:t>cy</w:t>
      </w:r>
      <w:r w:rsidRPr="007D1C5E">
        <w:rPr>
          <w:color w:val="2A2A2A"/>
        </w:rPr>
        <w:t xml:space="preserve"> and the rule of law?</w:t>
      </w:r>
    </w:p>
    <w:p w14:paraId="0C20AA85" w14:textId="77777777" w:rsidR="001C6DFD" w:rsidRPr="001C6DFD" w:rsidRDefault="001C6DFD" w:rsidP="001C6DFD">
      <w:pPr>
        <w:pStyle w:val="ListParagraph"/>
        <w:numPr>
          <w:ilvl w:val="0"/>
          <w:numId w:val="5"/>
        </w:numPr>
        <w:jc w:val="both"/>
        <w:rPr>
          <w:color w:val="2A2A2A"/>
        </w:rPr>
      </w:pPr>
      <w:r w:rsidRPr="001C6DFD">
        <w:rPr>
          <w:color w:val="2A2A2A"/>
        </w:rPr>
        <w:t>National models of constitutional resilience: how do different constitutional systems justify and structure constitutional self-defence?</w:t>
      </w:r>
    </w:p>
    <w:p w14:paraId="5C3A7686" w14:textId="77777777" w:rsidR="001C6DFD" w:rsidRPr="001C6DFD" w:rsidRDefault="001C6DFD" w:rsidP="001C6DFD">
      <w:pPr>
        <w:pStyle w:val="ListParagraph"/>
        <w:numPr>
          <w:ilvl w:val="0"/>
          <w:numId w:val="5"/>
        </w:numPr>
        <w:jc w:val="both"/>
        <w:rPr>
          <w:color w:val="2A2A2A"/>
        </w:rPr>
      </w:pPr>
      <w:r w:rsidRPr="001C6DFD">
        <w:rPr>
          <w:color w:val="2A2A2A"/>
        </w:rPr>
        <w:t>The principle of defensive (militant) democracy as a legal and normative framework: safeguards of liberal constitutionalism or risks of democratic self-undermining?</w:t>
      </w:r>
    </w:p>
    <w:p w14:paraId="49E1D416" w14:textId="598FACCA" w:rsidR="001C6DFD" w:rsidRPr="001C6DFD" w:rsidRDefault="001C6DFD" w:rsidP="001C6DFD">
      <w:pPr>
        <w:pStyle w:val="ListParagraph"/>
        <w:numPr>
          <w:ilvl w:val="0"/>
          <w:numId w:val="5"/>
        </w:numPr>
        <w:jc w:val="both"/>
        <w:rPr>
          <w:color w:val="2A2A2A"/>
        </w:rPr>
      </w:pPr>
      <w:r w:rsidRPr="001C6DFD">
        <w:rPr>
          <w:color w:val="2A2A2A"/>
        </w:rPr>
        <w:t>The role of constitutional courts in resisting or facilitating democratic erosion, including questions of institutional capture, deference and constitutional identity.</w:t>
      </w:r>
    </w:p>
    <w:p w14:paraId="77922EEC" w14:textId="77777777" w:rsidR="001C6DFD" w:rsidRPr="001C6DFD" w:rsidRDefault="001C6DFD" w:rsidP="001C6DFD">
      <w:pPr>
        <w:pStyle w:val="ListParagraph"/>
        <w:numPr>
          <w:ilvl w:val="0"/>
          <w:numId w:val="5"/>
        </w:numPr>
        <w:jc w:val="both"/>
        <w:rPr>
          <w:color w:val="2A2A2A"/>
        </w:rPr>
      </w:pPr>
      <w:r w:rsidRPr="001C6DFD">
        <w:rPr>
          <w:color w:val="2A2A2A"/>
        </w:rPr>
        <w:t>How do different constitutional traditions, including continental (civil law) and common law systems, shape divergent understandings of constitutional resilience, particularly in comparisons between European and United States approaches?</w:t>
      </w:r>
    </w:p>
    <w:p w14:paraId="3E1F1942" w14:textId="77777777" w:rsidR="001C6DFD" w:rsidRPr="001C6DFD" w:rsidRDefault="001C6DFD" w:rsidP="001C6DFD">
      <w:pPr>
        <w:pStyle w:val="ListParagraph"/>
        <w:numPr>
          <w:ilvl w:val="0"/>
          <w:numId w:val="5"/>
        </w:numPr>
        <w:jc w:val="both"/>
        <w:rPr>
          <w:color w:val="2A2A2A"/>
        </w:rPr>
      </w:pPr>
      <w:r w:rsidRPr="001C6DFD">
        <w:rPr>
          <w:color w:val="2A2A2A"/>
        </w:rPr>
        <w:t>To what extent can EU law contribute to democratic and constitutional resilience in Member States, and where do its limits become apparent?</w:t>
      </w:r>
    </w:p>
    <w:p w14:paraId="4A18C6AD" w14:textId="6DE3187C" w:rsidR="001C6DFD" w:rsidRPr="001C6DFD" w:rsidRDefault="001C6DFD" w:rsidP="001C6DFD">
      <w:pPr>
        <w:pStyle w:val="ListParagraph"/>
        <w:numPr>
          <w:ilvl w:val="0"/>
          <w:numId w:val="5"/>
        </w:numPr>
        <w:jc w:val="both"/>
        <w:rPr>
          <w:color w:val="2A2A2A"/>
        </w:rPr>
      </w:pPr>
      <w:r w:rsidRPr="001C6DFD">
        <w:rPr>
          <w:color w:val="2A2A2A"/>
        </w:rPr>
        <w:t>How do supranational mechanisms interact with domestic constitutional orders in contexts of democratic backsliding?</w:t>
      </w:r>
    </w:p>
    <w:p w14:paraId="7BA7BDA4" w14:textId="1CDF2E5E" w:rsidR="00304FAE" w:rsidRPr="001C6DFD" w:rsidRDefault="001C6DFD" w:rsidP="00304FAE">
      <w:pPr>
        <w:pStyle w:val="ListParagraph"/>
        <w:numPr>
          <w:ilvl w:val="0"/>
          <w:numId w:val="5"/>
        </w:numPr>
        <w:jc w:val="both"/>
        <w:rPr>
          <w:color w:val="2A2A2A"/>
        </w:rPr>
      </w:pPr>
      <w:r w:rsidRPr="001C6DFD">
        <w:rPr>
          <w:color w:val="2A2A2A"/>
        </w:rPr>
        <w:t>Constitutional resilience in times of war or prolonged emergency, and the long-term constitutional consequences of governing through exception.</w:t>
      </w:r>
    </w:p>
    <w:p w14:paraId="3F0378BE" w14:textId="3802A003" w:rsidR="00C54D99" w:rsidRPr="001C6DFD" w:rsidRDefault="00C54D99" w:rsidP="00304FAE">
      <w:pPr>
        <w:pStyle w:val="NormalWeb"/>
        <w:jc w:val="both"/>
        <w:rPr>
          <w:b/>
          <w:bCs/>
          <w:color w:val="000000"/>
        </w:rPr>
      </w:pPr>
      <w:r w:rsidRPr="001C6DFD">
        <w:rPr>
          <w:b/>
          <w:bCs/>
          <w:color w:val="000000"/>
        </w:rPr>
        <w:t>Guest Editors:</w:t>
      </w:r>
    </w:p>
    <w:p w14:paraId="46381D8B" w14:textId="1519ADDE" w:rsidR="00C54D99" w:rsidRPr="00304FAE" w:rsidRDefault="00C54D99" w:rsidP="00304FAE">
      <w:pPr>
        <w:pStyle w:val="NormalWeb"/>
        <w:jc w:val="both"/>
        <w:rPr>
          <w:color w:val="000000"/>
        </w:rPr>
      </w:pPr>
      <w:r w:rsidRPr="00304FAE">
        <w:rPr>
          <w:color w:val="000000"/>
        </w:rPr>
        <w:t xml:space="preserve">Airė Keturakienė </w:t>
      </w:r>
      <w:r w:rsidR="00EA181F" w:rsidRPr="00304FAE">
        <w:rPr>
          <w:color w:val="000000"/>
        </w:rPr>
        <w:t>(</w:t>
      </w:r>
      <w:r w:rsidRPr="00304FAE">
        <w:rPr>
          <w:color w:val="000000"/>
        </w:rPr>
        <w:t xml:space="preserve">Vytautas Magnus </w:t>
      </w:r>
      <w:r w:rsidR="00EA181F" w:rsidRPr="00304FAE">
        <w:rPr>
          <w:color w:val="000000"/>
        </w:rPr>
        <w:t>U</w:t>
      </w:r>
      <w:r w:rsidRPr="00304FAE">
        <w:rPr>
          <w:color w:val="000000"/>
        </w:rPr>
        <w:t>niversity</w:t>
      </w:r>
      <w:r w:rsidR="001C6DFD">
        <w:rPr>
          <w:color w:val="000000"/>
        </w:rPr>
        <w:t>, Faculty of Law</w:t>
      </w:r>
      <w:r w:rsidR="00EA181F" w:rsidRPr="00304FAE">
        <w:rPr>
          <w:color w:val="000000"/>
        </w:rPr>
        <w:t>)</w:t>
      </w:r>
    </w:p>
    <w:p w14:paraId="289D38A7" w14:textId="6C77E877" w:rsidR="00C54D99" w:rsidRPr="00304FAE" w:rsidRDefault="00C54D99" w:rsidP="00304FAE">
      <w:pPr>
        <w:pStyle w:val="NormalWeb"/>
        <w:jc w:val="both"/>
        <w:rPr>
          <w:color w:val="000000"/>
        </w:rPr>
      </w:pPr>
      <w:r w:rsidRPr="00304FAE">
        <w:rPr>
          <w:color w:val="000000"/>
        </w:rPr>
        <w:t xml:space="preserve">Donatas Murauskas </w:t>
      </w:r>
      <w:r w:rsidR="00EA181F" w:rsidRPr="00304FAE">
        <w:rPr>
          <w:color w:val="000000"/>
        </w:rPr>
        <w:t>(Vilnius University</w:t>
      </w:r>
      <w:r w:rsidR="001C6DFD">
        <w:rPr>
          <w:color w:val="000000"/>
        </w:rPr>
        <w:t>, Faculty of Law</w:t>
      </w:r>
      <w:r w:rsidR="00EA181F" w:rsidRPr="00304FAE">
        <w:rPr>
          <w:color w:val="000000"/>
        </w:rPr>
        <w:t>)</w:t>
      </w:r>
    </w:p>
    <w:p w14:paraId="753FD2DC" w14:textId="3864C5A0" w:rsidR="007D1C5E" w:rsidRPr="007D1C5E" w:rsidRDefault="007D1C5E" w:rsidP="001C6DFD">
      <w:pPr>
        <w:pStyle w:val="NormalWeb"/>
        <w:jc w:val="both"/>
        <w:rPr>
          <w:color w:val="000000"/>
        </w:rPr>
      </w:pPr>
      <w:r w:rsidRPr="007D1C5E">
        <w:rPr>
          <w:color w:val="000000"/>
        </w:rPr>
        <w:t xml:space="preserve">For specific questions about potential submissions, please contact the Special Issue guest editors at aire.keturakiene@vdu.lt / </w:t>
      </w:r>
      <w:r w:rsidR="001C6DFD" w:rsidRPr="001C6DFD">
        <w:rPr>
          <w:color w:val="000000"/>
        </w:rPr>
        <w:t>donat</w:t>
      </w:r>
      <w:r w:rsidR="001C6DFD">
        <w:rPr>
          <w:color w:val="000000"/>
        </w:rPr>
        <w:t>a</w:t>
      </w:r>
      <w:r w:rsidR="001C6DFD" w:rsidRPr="001C6DFD">
        <w:rPr>
          <w:color w:val="000000"/>
        </w:rPr>
        <w:t>s.murauskas@tf.vu.lt</w:t>
      </w:r>
      <w:r w:rsidR="001C6DFD">
        <w:rPr>
          <w:color w:val="000000"/>
        </w:rPr>
        <w:t>.</w:t>
      </w:r>
    </w:p>
    <w:p w14:paraId="2C8928CD" w14:textId="77777777" w:rsidR="007D1C5E" w:rsidRPr="001C6DFD" w:rsidRDefault="007D1C5E" w:rsidP="007D1C5E">
      <w:pPr>
        <w:pStyle w:val="NormalWeb"/>
        <w:jc w:val="both"/>
        <w:rPr>
          <w:b/>
          <w:bCs/>
          <w:color w:val="000000"/>
        </w:rPr>
      </w:pPr>
      <w:r w:rsidRPr="001C6DFD">
        <w:rPr>
          <w:b/>
          <w:bCs/>
          <w:color w:val="000000"/>
        </w:rPr>
        <w:t>Submission deadline</w:t>
      </w:r>
    </w:p>
    <w:p w14:paraId="1B49143D" w14:textId="24EF0316" w:rsidR="00EA181F" w:rsidRPr="007D1C5E" w:rsidRDefault="007D1C5E" w:rsidP="007D1C5E">
      <w:pPr>
        <w:pStyle w:val="NormalWeb"/>
        <w:jc w:val="both"/>
        <w:rPr>
          <w:color w:val="000000"/>
        </w:rPr>
      </w:pPr>
      <w:r w:rsidRPr="007D1C5E">
        <w:rPr>
          <w:color w:val="000000"/>
        </w:rPr>
        <w:t>September 1, 2026</w:t>
      </w:r>
    </w:p>
    <w:p w14:paraId="0CF6F5AA" w14:textId="78D77E52" w:rsidR="00C54D99" w:rsidRPr="00304FAE" w:rsidRDefault="00EA181F" w:rsidP="00304FAE">
      <w:pPr>
        <w:pStyle w:val="NormalWeb"/>
        <w:jc w:val="both"/>
        <w:rPr>
          <w:b/>
          <w:bCs/>
          <w:color w:val="000000"/>
        </w:rPr>
      </w:pPr>
      <w:r w:rsidRPr="00304FAE">
        <w:rPr>
          <w:b/>
          <w:bCs/>
          <w:color w:val="000000"/>
        </w:rPr>
        <w:t>Submission Guidelines</w:t>
      </w:r>
    </w:p>
    <w:p w14:paraId="00F3B5C4" w14:textId="2C8AC1C7" w:rsidR="00C54D99" w:rsidRPr="00304FAE" w:rsidRDefault="00C54D99" w:rsidP="00304FAE">
      <w:pPr>
        <w:pStyle w:val="NormalWeb"/>
        <w:jc w:val="both"/>
        <w:rPr>
          <w:color w:val="000000"/>
        </w:rPr>
      </w:pPr>
      <w:r w:rsidRPr="00304FAE">
        <w:rPr>
          <w:color w:val="000000"/>
        </w:rPr>
        <w:t>Submissions must comply with the</w:t>
      </w:r>
      <w:r w:rsidRPr="00304FAE">
        <w:rPr>
          <w:rStyle w:val="apple-converted-space"/>
          <w:rFonts w:eastAsiaTheme="majorEastAsia"/>
          <w:color w:val="000000"/>
        </w:rPr>
        <w:t> </w:t>
      </w:r>
      <w:r w:rsidRPr="00304FAE">
        <w:rPr>
          <w:rStyle w:val="Strong"/>
          <w:rFonts w:eastAsiaTheme="majorEastAsia"/>
          <w:b w:val="0"/>
          <w:bCs w:val="0"/>
          <w:color w:val="000000"/>
        </w:rPr>
        <w:t>BJLP Instructions for Authors</w:t>
      </w:r>
      <w:r w:rsidR="00EA181F" w:rsidRPr="00304FAE">
        <w:rPr>
          <w:color w:val="000000"/>
        </w:rPr>
        <w:t>.</w:t>
      </w:r>
    </w:p>
    <w:p w14:paraId="6F300DCF" w14:textId="1353A42B" w:rsidR="00D44752" w:rsidRPr="00304FAE" w:rsidRDefault="008E7892" w:rsidP="00304FAE">
      <w:pPr>
        <w:jc w:val="both"/>
      </w:pPr>
      <w:r w:rsidRPr="00304FAE">
        <w:br w:type="page"/>
      </w:r>
    </w:p>
    <w:sectPr w:rsidR="00D44752" w:rsidRPr="00304F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webkit-standard">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C7539"/>
    <w:multiLevelType w:val="hybridMultilevel"/>
    <w:tmpl w:val="D1149D9A"/>
    <w:lvl w:ilvl="0" w:tplc="73CE1872">
      <w:start w:val="1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449E4"/>
    <w:multiLevelType w:val="multilevel"/>
    <w:tmpl w:val="DD662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F530ED"/>
    <w:multiLevelType w:val="multilevel"/>
    <w:tmpl w:val="6F884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CA1D72"/>
    <w:multiLevelType w:val="hybridMultilevel"/>
    <w:tmpl w:val="427AC432"/>
    <w:lvl w:ilvl="0" w:tplc="73CE1872">
      <w:start w:val="1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7FB2D70"/>
    <w:multiLevelType w:val="multilevel"/>
    <w:tmpl w:val="D69C9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0622539">
    <w:abstractNumId w:val="3"/>
  </w:num>
  <w:num w:numId="2" w16cid:durableId="583729314">
    <w:abstractNumId w:val="2"/>
  </w:num>
  <w:num w:numId="3" w16cid:durableId="851800957">
    <w:abstractNumId w:val="1"/>
  </w:num>
  <w:num w:numId="4" w16cid:durableId="1402017369">
    <w:abstractNumId w:val="4"/>
  </w:num>
  <w:num w:numId="5" w16cid:durableId="276719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752"/>
    <w:rsid w:val="001C6DFD"/>
    <w:rsid w:val="00304FAE"/>
    <w:rsid w:val="005545A0"/>
    <w:rsid w:val="00730DAE"/>
    <w:rsid w:val="007D1C5E"/>
    <w:rsid w:val="008E7892"/>
    <w:rsid w:val="009B11D9"/>
    <w:rsid w:val="00B72FC3"/>
    <w:rsid w:val="00BB3FCF"/>
    <w:rsid w:val="00BC4F3A"/>
    <w:rsid w:val="00BF4A5A"/>
    <w:rsid w:val="00BF71A5"/>
    <w:rsid w:val="00C4456E"/>
    <w:rsid w:val="00C54D99"/>
    <w:rsid w:val="00D44752"/>
    <w:rsid w:val="00EA181F"/>
    <w:rsid w:val="00F31812"/>
    <w:rsid w:val="00F56C1A"/>
    <w:rsid w:val="00FD1541"/>
    <w:rsid w:val="00FF3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21E02"/>
  <w15:chartTrackingRefBased/>
  <w15:docId w15:val="{A75AE898-8187-442B-9FDD-C69AB051A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541"/>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D447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447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447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447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47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475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475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475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475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47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447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447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D447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47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47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47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47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4752"/>
    <w:rPr>
      <w:rFonts w:eastAsiaTheme="majorEastAsia" w:cstheme="majorBidi"/>
      <w:color w:val="272727" w:themeColor="text1" w:themeTint="D8"/>
    </w:rPr>
  </w:style>
  <w:style w:type="paragraph" w:styleId="Title">
    <w:name w:val="Title"/>
    <w:basedOn w:val="Normal"/>
    <w:next w:val="Normal"/>
    <w:link w:val="TitleChar"/>
    <w:uiPriority w:val="10"/>
    <w:qFormat/>
    <w:rsid w:val="00D4475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47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47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47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4752"/>
    <w:pPr>
      <w:spacing w:before="160"/>
      <w:jc w:val="center"/>
    </w:pPr>
    <w:rPr>
      <w:i/>
      <w:iCs/>
      <w:color w:val="404040" w:themeColor="text1" w:themeTint="BF"/>
    </w:rPr>
  </w:style>
  <w:style w:type="character" w:customStyle="1" w:styleId="QuoteChar">
    <w:name w:val="Quote Char"/>
    <w:basedOn w:val="DefaultParagraphFont"/>
    <w:link w:val="Quote"/>
    <w:uiPriority w:val="29"/>
    <w:rsid w:val="00D44752"/>
    <w:rPr>
      <w:i/>
      <w:iCs/>
      <w:color w:val="404040" w:themeColor="text1" w:themeTint="BF"/>
    </w:rPr>
  </w:style>
  <w:style w:type="paragraph" w:styleId="ListParagraph">
    <w:name w:val="List Paragraph"/>
    <w:basedOn w:val="Normal"/>
    <w:uiPriority w:val="34"/>
    <w:qFormat/>
    <w:rsid w:val="00D44752"/>
    <w:pPr>
      <w:ind w:left="720"/>
      <w:contextualSpacing/>
    </w:pPr>
  </w:style>
  <w:style w:type="character" w:styleId="IntenseEmphasis">
    <w:name w:val="Intense Emphasis"/>
    <w:basedOn w:val="DefaultParagraphFont"/>
    <w:uiPriority w:val="21"/>
    <w:qFormat/>
    <w:rsid w:val="00D44752"/>
    <w:rPr>
      <w:i/>
      <w:iCs/>
      <w:color w:val="0F4761" w:themeColor="accent1" w:themeShade="BF"/>
    </w:rPr>
  </w:style>
  <w:style w:type="paragraph" w:styleId="IntenseQuote">
    <w:name w:val="Intense Quote"/>
    <w:basedOn w:val="Normal"/>
    <w:next w:val="Normal"/>
    <w:link w:val="IntenseQuoteChar"/>
    <w:uiPriority w:val="30"/>
    <w:qFormat/>
    <w:rsid w:val="00D447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4752"/>
    <w:rPr>
      <w:i/>
      <w:iCs/>
      <w:color w:val="0F4761" w:themeColor="accent1" w:themeShade="BF"/>
    </w:rPr>
  </w:style>
  <w:style w:type="character" w:styleId="IntenseReference">
    <w:name w:val="Intense Reference"/>
    <w:basedOn w:val="DefaultParagraphFont"/>
    <w:uiPriority w:val="32"/>
    <w:qFormat/>
    <w:rsid w:val="00D44752"/>
    <w:rPr>
      <w:b/>
      <w:bCs/>
      <w:smallCaps/>
      <w:color w:val="0F4761" w:themeColor="accent1" w:themeShade="BF"/>
      <w:spacing w:val="5"/>
    </w:rPr>
  </w:style>
  <w:style w:type="character" w:customStyle="1" w:styleId="apple-converted-space">
    <w:name w:val="apple-converted-space"/>
    <w:basedOn w:val="DefaultParagraphFont"/>
    <w:rsid w:val="008E7892"/>
  </w:style>
  <w:style w:type="character" w:styleId="Strong">
    <w:name w:val="Strong"/>
    <w:basedOn w:val="DefaultParagraphFont"/>
    <w:uiPriority w:val="22"/>
    <w:qFormat/>
    <w:rsid w:val="008E7892"/>
    <w:rPr>
      <w:b/>
      <w:bCs/>
    </w:rPr>
  </w:style>
  <w:style w:type="table" w:styleId="TableGrid">
    <w:name w:val="Table Grid"/>
    <w:basedOn w:val="TableNormal"/>
    <w:uiPriority w:val="39"/>
    <w:rsid w:val="008E78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D1541"/>
    <w:pPr>
      <w:spacing w:before="100" w:beforeAutospacing="1" w:after="100" w:afterAutospacing="1"/>
    </w:pPr>
  </w:style>
  <w:style w:type="character" w:styleId="Emphasis">
    <w:name w:val="Emphasis"/>
    <w:basedOn w:val="DefaultParagraphFont"/>
    <w:uiPriority w:val="20"/>
    <w:qFormat/>
    <w:rsid w:val="00FD1541"/>
    <w:rPr>
      <w:i/>
      <w:iCs/>
    </w:rPr>
  </w:style>
  <w:style w:type="character" w:styleId="Hyperlink">
    <w:name w:val="Hyperlink"/>
    <w:basedOn w:val="DefaultParagraphFont"/>
    <w:uiPriority w:val="99"/>
    <w:unhideWhenUsed/>
    <w:rsid w:val="00FD1541"/>
    <w:rPr>
      <w:color w:val="0000FF"/>
      <w:u w:val="single"/>
    </w:rPr>
  </w:style>
  <w:style w:type="character" w:styleId="UnresolvedMention">
    <w:name w:val="Unresolved Mention"/>
    <w:basedOn w:val="DefaultParagraphFont"/>
    <w:uiPriority w:val="99"/>
    <w:semiHidden/>
    <w:unhideWhenUsed/>
    <w:rsid w:val="00FD1541"/>
    <w:rPr>
      <w:color w:val="605E5C"/>
      <w:shd w:val="clear" w:color="auto" w:fill="E1DFDD"/>
    </w:rPr>
  </w:style>
  <w:style w:type="character" w:customStyle="1" w:styleId="whitespace-normal">
    <w:name w:val="whitespace-normal"/>
    <w:basedOn w:val="DefaultParagraphFont"/>
    <w:rsid w:val="00C54D99"/>
  </w:style>
  <w:style w:type="character" w:styleId="CommentReference">
    <w:name w:val="annotation reference"/>
    <w:basedOn w:val="DefaultParagraphFont"/>
    <w:uiPriority w:val="99"/>
    <w:semiHidden/>
    <w:unhideWhenUsed/>
    <w:rsid w:val="00F31812"/>
    <w:rPr>
      <w:sz w:val="16"/>
      <w:szCs w:val="16"/>
    </w:rPr>
  </w:style>
  <w:style w:type="paragraph" w:styleId="CommentText">
    <w:name w:val="annotation text"/>
    <w:basedOn w:val="Normal"/>
    <w:link w:val="CommentTextChar"/>
    <w:uiPriority w:val="99"/>
    <w:semiHidden/>
    <w:unhideWhenUsed/>
    <w:rsid w:val="00F31812"/>
    <w:rPr>
      <w:sz w:val="20"/>
      <w:szCs w:val="20"/>
    </w:rPr>
  </w:style>
  <w:style w:type="character" w:customStyle="1" w:styleId="CommentTextChar">
    <w:name w:val="Comment Text Char"/>
    <w:basedOn w:val="DefaultParagraphFont"/>
    <w:link w:val="CommentText"/>
    <w:uiPriority w:val="99"/>
    <w:semiHidden/>
    <w:rsid w:val="00F31812"/>
    <w:rPr>
      <w:rFonts w:ascii="Times New Roman" w:eastAsia="Times New Roman" w:hAnsi="Times New Roman"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F31812"/>
    <w:rPr>
      <w:b/>
      <w:bCs/>
    </w:rPr>
  </w:style>
  <w:style w:type="character" w:customStyle="1" w:styleId="CommentSubjectChar">
    <w:name w:val="Comment Subject Char"/>
    <w:basedOn w:val="CommentTextChar"/>
    <w:link w:val="CommentSubject"/>
    <w:uiPriority w:val="99"/>
    <w:semiHidden/>
    <w:rsid w:val="00F31812"/>
    <w:rPr>
      <w:rFonts w:ascii="Times New Roman" w:eastAsia="Times New Roman" w:hAnsi="Times New Roman" w:cs="Times New Roman"/>
      <w:b/>
      <w:bCs/>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776</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Donatas Murauskas</dc:creator>
  <cp:keywords/>
  <dc:description/>
  <cp:lastModifiedBy>Aire Keturakiene</cp:lastModifiedBy>
  <cp:revision>2</cp:revision>
  <dcterms:created xsi:type="dcterms:W3CDTF">2026-02-12T10:28:00Z</dcterms:created>
  <dcterms:modified xsi:type="dcterms:W3CDTF">2026-02-12T10:28:00Z</dcterms:modified>
</cp:coreProperties>
</file>