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CA6F" w14:textId="4A1BB8B6" w:rsidR="00E827BA" w:rsidRPr="001E2BBA" w:rsidRDefault="00E827BA" w:rsidP="00E827BA">
      <w:pPr>
        <w:rPr>
          <w:b/>
          <w:bCs/>
          <w:lang w:val="en-US"/>
        </w:rPr>
      </w:pPr>
      <w:r>
        <w:rPr>
          <w:b/>
          <w:bCs/>
          <w:lang w:val="en-US"/>
        </w:rPr>
        <w:t xml:space="preserve">Call for papers – June 2026 </w:t>
      </w:r>
      <w:r w:rsidRPr="00E827BA">
        <w:rPr>
          <w:lang w:val="en-US"/>
        </w:rPr>
        <w:t>(</w:t>
      </w:r>
      <w:r>
        <w:rPr>
          <w:lang w:val="en-US"/>
        </w:rPr>
        <w:t>s</w:t>
      </w:r>
      <w:r w:rsidRPr="00E827BA">
        <w:rPr>
          <w:lang w:val="en-US"/>
        </w:rPr>
        <w:t>ubmission deadline: October 30, 2026</w:t>
      </w:r>
      <w:r w:rsidRPr="00E827BA">
        <w:rPr>
          <w:lang w:val="en-US"/>
        </w:rPr>
        <w:t>)</w:t>
      </w:r>
    </w:p>
    <w:p w14:paraId="79D4D445" w14:textId="77777777" w:rsidR="00E827BA" w:rsidRPr="00BE56A8" w:rsidRDefault="00E827BA" w:rsidP="00E827BA">
      <w:pPr>
        <w:rPr>
          <w:lang w:val="en-US"/>
        </w:rPr>
      </w:pPr>
      <w:r w:rsidRPr="00AF0404">
        <w:rPr>
          <w:i/>
          <w:iCs/>
          <w:lang w:val="en-US"/>
        </w:rPr>
        <w:t>International Journal of Management and Economics</w:t>
      </w:r>
      <w:r w:rsidRPr="00BE56A8">
        <w:rPr>
          <w:lang w:val="en-US"/>
        </w:rPr>
        <w:t> invites submissions for a thematic issue on</w:t>
      </w:r>
      <w:r w:rsidRPr="00BE56A8">
        <w:rPr>
          <w:lang w:val="en-US"/>
        </w:rPr>
        <w:br/>
      </w:r>
      <w:r w:rsidRPr="00BE56A8">
        <w:rPr>
          <w:b/>
          <w:bCs/>
          <w:lang w:val="en-US"/>
        </w:rPr>
        <w:t>Circular Economy and Circular Business: Management, Strategy and Economic Perspectives</w:t>
      </w:r>
      <w:r w:rsidRPr="00BE56A8">
        <w:rPr>
          <w:lang w:val="en-US"/>
        </w:rPr>
        <w:t>.</w:t>
      </w:r>
    </w:p>
    <w:p w14:paraId="74E053FF" w14:textId="77777777" w:rsidR="00E827BA" w:rsidRPr="00BE56A8" w:rsidRDefault="00E827BA" w:rsidP="00E827BA">
      <w:pPr>
        <w:rPr>
          <w:lang w:val="en-US"/>
        </w:rPr>
      </w:pPr>
      <w:r w:rsidRPr="00BE56A8">
        <w:rPr>
          <w:b/>
          <w:bCs/>
          <w:lang w:val="en-US"/>
        </w:rPr>
        <w:t>Theme of the issue</w:t>
      </w:r>
    </w:p>
    <w:p w14:paraId="5D03646E" w14:textId="77777777" w:rsidR="00E827BA" w:rsidRPr="00BE56A8" w:rsidRDefault="00E827BA" w:rsidP="00E827BA">
      <w:pPr>
        <w:rPr>
          <w:lang w:val="en-US"/>
        </w:rPr>
      </w:pPr>
      <w:r w:rsidRPr="00BE56A8">
        <w:rPr>
          <w:lang w:val="en-US"/>
        </w:rPr>
        <w:t>The transition toward a circular economy is reshaping how firms, industries and economies create, deliver and capture value. Circular economy principles increasingly influence business strategy, innovation, supply chains, consumption models, industrial transformation and public policy.</w:t>
      </w:r>
    </w:p>
    <w:p w14:paraId="6630C778" w14:textId="77777777" w:rsidR="00E827BA" w:rsidRPr="00BE56A8" w:rsidRDefault="00E827BA" w:rsidP="00E827BA">
      <w:pPr>
        <w:rPr>
          <w:lang w:val="en-US"/>
        </w:rPr>
      </w:pPr>
      <w:r w:rsidRPr="00BE56A8">
        <w:rPr>
          <w:lang w:val="en-US"/>
        </w:rPr>
        <w:t>At the same time, many organizations still implement circular practices in fragmented, operational or pilot-based forms rather than as systemic business transformation. Firms face managerial, organizational, technological, financial and institutional barriers when attempting to scale circular initiatives.</w:t>
      </w:r>
    </w:p>
    <w:p w14:paraId="78613BEE" w14:textId="77777777" w:rsidR="00E827BA" w:rsidRPr="00BE56A8" w:rsidRDefault="00E827BA" w:rsidP="00E827BA">
      <w:pPr>
        <w:rPr>
          <w:lang w:val="en-US"/>
        </w:rPr>
      </w:pPr>
      <w:r w:rsidRPr="00BE56A8">
        <w:rPr>
          <w:lang w:val="en-US"/>
        </w:rPr>
        <w:t>This thematic issue seeks to advance scholarly understanding of circular economy and circular business from management, strategy and economic perspectives. It is particularly interested in contributions linking circularity with </w:t>
      </w:r>
      <w:r w:rsidRPr="00BE56A8">
        <w:rPr>
          <w:b/>
          <w:bCs/>
          <w:lang w:val="en-US"/>
        </w:rPr>
        <w:t>business strategy, firm competitiveness, innovation, supply chains, industrial transformation, public policy and broader economic change</w:t>
      </w:r>
      <w:r w:rsidRPr="00BE56A8">
        <w:rPr>
          <w:lang w:val="en-US"/>
        </w:rPr>
        <w:t>.</w:t>
      </w:r>
    </w:p>
    <w:p w14:paraId="45450489" w14:textId="77777777" w:rsidR="00E827BA" w:rsidRPr="00BE56A8" w:rsidRDefault="00E827BA" w:rsidP="00E827BA">
      <w:pPr>
        <w:rPr>
          <w:lang w:val="en-US"/>
        </w:rPr>
      </w:pPr>
      <w:r w:rsidRPr="00BE56A8">
        <w:rPr>
          <w:lang w:val="en-US"/>
        </w:rPr>
        <w:t>The issue also envisages the publication of </w:t>
      </w:r>
      <w:r w:rsidRPr="00BE56A8">
        <w:rPr>
          <w:b/>
          <w:bCs/>
          <w:lang w:val="en-US"/>
        </w:rPr>
        <w:t>one high-quality review article on circular economy</w:t>
      </w:r>
      <w:r w:rsidRPr="00BE56A8">
        <w:rPr>
          <w:lang w:val="en-US"/>
        </w:rPr>
        <w:t>, offering a rigorous synthesis of the field, identifying key research gaps and proposing a future research agenda for management, strategy and economics.</w:t>
      </w:r>
    </w:p>
    <w:p w14:paraId="03CBC4FA" w14:textId="77777777" w:rsidR="00E827BA" w:rsidRPr="00BE56A8" w:rsidRDefault="00E827BA" w:rsidP="00E827BA">
      <w:pPr>
        <w:rPr>
          <w:lang w:val="en-US"/>
        </w:rPr>
      </w:pPr>
      <w:r w:rsidRPr="00BE56A8">
        <w:rPr>
          <w:b/>
          <w:bCs/>
          <w:lang w:val="en-US"/>
        </w:rPr>
        <w:t>Suggested topics</w:t>
      </w:r>
    </w:p>
    <w:p w14:paraId="3B50700E" w14:textId="77777777" w:rsidR="00E827BA" w:rsidRPr="00BE56A8" w:rsidRDefault="00E827BA" w:rsidP="00E827BA">
      <w:pPr>
        <w:rPr>
          <w:lang w:val="en-US"/>
        </w:rPr>
      </w:pPr>
      <w:r w:rsidRPr="00BE56A8">
        <w:rPr>
          <w:lang w:val="en-US"/>
        </w:rPr>
        <w:t>We invite submissions addressing, but not limited to:</w:t>
      </w:r>
    </w:p>
    <w:p w14:paraId="17E79CA2" w14:textId="77777777" w:rsidR="00E827BA" w:rsidRPr="00BE56A8" w:rsidRDefault="00E827BA" w:rsidP="00E827BA">
      <w:pPr>
        <w:numPr>
          <w:ilvl w:val="0"/>
          <w:numId w:val="1"/>
        </w:numPr>
        <w:spacing w:after="0" w:line="240" w:lineRule="auto"/>
        <w:ind w:left="714" w:hanging="357"/>
        <w:rPr>
          <w:lang w:val="en-US"/>
        </w:rPr>
      </w:pPr>
      <w:r w:rsidRPr="00BE56A8">
        <w:rPr>
          <w:lang w:val="en-US"/>
        </w:rPr>
        <w:t>circular business models and business model innovation;</w:t>
      </w:r>
    </w:p>
    <w:p w14:paraId="2B70BAA2" w14:textId="77777777" w:rsidR="00E827BA" w:rsidRPr="00BE56A8" w:rsidRDefault="00E827BA" w:rsidP="00E827BA">
      <w:pPr>
        <w:numPr>
          <w:ilvl w:val="0"/>
          <w:numId w:val="1"/>
        </w:numPr>
        <w:spacing w:after="0" w:line="240" w:lineRule="auto"/>
        <w:ind w:left="714" w:hanging="357"/>
        <w:rPr>
          <w:lang w:val="en-US"/>
        </w:rPr>
      </w:pPr>
      <w:r w:rsidRPr="00BE56A8">
        <w:rPr>
          <w:lang w:val="en-US"/>
        </w:rPr>
        <w:t>strategic management for circular transformation;</w:t>
      </w:r>
    </w:p>
    <w:p w14:paraId="1EB4B324" w14:textId="77777777" w:rsidR="00E827BA" w:rsidRPr="00BE56A8" w:rsidRDefault="00E827BA" w:rsidP="00E827BA">
      <w:pPr>
        <w:numPr>
          <w:ilvl w:val="0"/>
          <w:numId w:val="1"/>
        </w:numPr>
        <w:spacing w:after="0" w:line="240" w:lineRule="auto"/>
        <w:ind w:left="714" w:hanging="357"/>
        <w:rPr>
          <w:lang w:val="en-US"/>
        </w:rPr>
      </w:pPr>
      <w:r w:rsidRPr="00BE56A8">
        <w:rPr>
          <w:lang w:val="en-US"/>
        </w:rPr>
        <w:t>circular economy and firm competitiveness;</w:t>
      </w:r>
    </w:p>
    <w:p w14:paraId="15494133" w14:textId="77777777" w:rsidR="00E827BA" w:rsidRPr="00BE56A8" w:rsidRDefault="00E827BA" w:rsidP="00E827BA">
      <w:pPr>
        <w:numPr>
          <w:ilvl w:val="0"/>
          <w:numId w:val="1"/>
        </w:numPr>
        <w:spacing w:after="0" w:line="240" w:lineRule="auto"/>
        <w:ind w:left="714" w:hanging="357"/>
        <w:rPr>
          <w:lang w:val="en-US"/>
        </w:rPr>
      </w:pPr>
      <w:r w:rsidRPr="00BE56A8">
        <w:rPr>
          <w:lang w:val="en-US"/>
        </w:rPr>
        <w:t>circular supply chains and reverse logistics;</w:t>
      </w:r>
    </w:p>
    <w:p w14:paraId="36570231" w14:textId="77777777" w:rsidR="00E827BA" w:rsidRPr="00BE56A8" w:rsidRDefault="00E827BA" w:rsidP="00E827BA">
      <w:pPr>
        <w:numPr>
          <w:ilvl w:val="0"/>
          <w:numId w:val="1"/>
        </w:numPr>
        <w:spacing w:after="0" w:line="240" w:lineRule="auto"/>
        <w:ind w:left="714" w:hanging="357"/>
        <w:rPr>
          <w:lang w:val="en-US"/>
        </w:rPr>
      </w:pPr>
      <w:r w:rsidRPr="00BE56A8">
        <w:rPr>
          <w:lang w:val="en-US"/>
        </w:rPr>
        <w:t>repair, refurbishment, remanufacturing and reuse systems;</w:t>
      </w:r>
    </w:p>
    <w:p w14:paraId="42FBE246" w14:textId="77777777" w:rsidR="00E827BA" w:rsidRPr="00BE56A8" w:rsidRDefault="00E827BA" w:rsidP="00E827BA">
      <w:pPr>
        <w:numPr>
          <w:ilvl w:val="0"/>
          <w:numId w:val="1"/>
        </w:numPr>
        <w:spacing w:after="0" w:line="240" w:lineRule="auto"/>
        <w:ind w:left="714" w:hanging="357"/>
        <w:rPr>
          <w:lang w:val="en-US"/>
        </w:rPr>
      </w:pPr>
      <w:r w:rsidRPr="00BE56A8">
        <w:rPr>
          <w:lang w:val="en-US"/>
        </w:rPr>
        <w:t>digital technologies supporting circularity, including AI, IoT, blockchain, digital product passports and big data;</w:t>
      </w:r>
    </w:p>
    <w:p w14:paraId="5424746A" w14:textId="77777777" w:rsidR="00E827BA" w:rsidRPr="00BE56A8" w:rsidRDefault="00E827BA" w:rsidP="00E827BA">
      <w:pPr>
        <w:numPr>
          <w:ilvl w:val="0"/>
          <w:numId w:val="1"/>
        </w:numPr>
        <w:spacing w:after="0" w:line="240" w:lineRule="auto"/>
        <w:ind w:left="714" w:hanging="357"/>
        <w:rPr>
          <w:lang w:val="en-US"/>
        </w:rPr>
      </w:pPr>
      <w:r w:rsidRPr="00BE56A8">
        <w:rPr>
          <w:lang w:val="en-US"/>
        </w:rPr>
        <w:t>public policy, governance and regulation for circular economy;</w:t>
      </w:r>
    </w:p>
    <w:p w14:paraId="1592F04F" w14:textId="77777777" w:rsidR="00E827BA" w:rsidRPr="00BE56A8" w:rsidRDefault="00E827BA" w:rsidP="00E827BA">
      <w:pPr>
        <w:numPr>
          <w:ilvl w:val="0"/>
          <w:numId w:val="1"/>
        </w:numPr>
        <w:spacing w:after="0" w:line="240" w:lineRule="auto"/>
        <w:ind w:left="714" w:hanging="357"/>
        <w:rPr>
          <w:lang w:val="en-US"/>
        </w:rPr>
      </w:pPr>
      <w:r w:rsidRPr="00BE56A8">
        <w:rPr>
          <w:lang w:val="en-US"/>
        </w:rPr>
        <w:t>industrial symbiosis and inter-organizational collaboration;</w:t>
      </w:r>
    </w:p>
    <w:p w14:paraId="4119CC75" w14:textId="77777777" w:rsidR="00E827BA" w:rsidRPr="00BE56A8" w:rsidRDefault="00E827BA" w:rsidP="00E827BA">
      <w:pPr>
        <w:numPr>
          <w:ilvl w:val="0"/>
          <w:numId w:val="1"/>
        </w:numPr>
        <w:spacing w:after="0" w:line="240" w:lineRule="auto"/>
        <w:ind w:left="714" w:hanging="357"/>
        <w:rPr>
          <w:lang w:val="en-US"/>
        </w:rPr>
      </w:pPr>
      <w:r w:rsidRPr="00BE56A8">
        <w:rPr>
          <w:lang w:val="en-US"/>
        </w:rPr>
        <w:t>circular economy in SMEs, family businesses and emerging markets;</w:t>
      </w:r>
    </w:p>
    <w:p w14:paraId="15C58278" w14:textId="77777777" w:rsidR="00E827BA" w:rsidRPr="00BE56A8" w:rsidRDefault="00E827BA" w:rsidP="00E827BA">
      <w:pPr>
        <w:numPr>
          <w:ilvl w:val="0"/>
          <w:numId w:val="1"/>
        </w:numPr>
        <w:spacing w:after="0" w:line="240" w:lineRule="auto"/>
        <w:ind w:left="714" w:hanging="357"/>
        <w:rPr>
          <w:lang w:val="en-US"/>
        </w:rPr>
      </w:pPr>
      <w:r w:rsidRPr="00BE56A8">
        <w:rPr>
          <w:lang w:val="en-US"/>
        </w:rPr>
        <w:t>social dimensions and just transition aspects of circular economy;</w:t>
      </w:r>
    </w:p>
    <w:p w14:paraId="552AE087" w14:textId="77777777" w:rsidR="00E827BA" w:rsidRPr="00BE56A8" w:rsidRDefault="00E827BA" w:rsidP="00E827BA">
      <w:pPr>
        <w:numPr>
          <w:ilvl w:val="0"/>
          <w:numId w:val="1"/>
        </w:numPr>
        <w:spacing w:after="0" w:line="240" w:lineRule="auto"/>
        <w:ind w:left="714" w:hanging="357"/>
        <w:rPr>
          <w:lang w:val="en-US"/>
        </w:rPr>
      </w:pPr>
      <w:r w:rsidRPr="00BE56A8">
        <w:rPr>
          <w:lang w:val="en-US"/>
        </w:rPr>
        <w:t>critical perspectives on circular economy and its limitations;</w:t>
      </w:r>
    </w:p>
    <w:p w14:paraId="68F477F4" w14:textId="77777777" w:rsidR="00E827BA" w:rsidRPr="00BE56A8" w:rsidRDefault="00E827BA" w:rsidP="00E827BA">
      <w:pPr>
        <w:numPr>
          <w:ilvl w:val="0"/>
          <w:numId w:val="1"/>
        </w:numPr>
        <w:spacing w:after="0" w:line="240" w:lineRule="auto"/>
        <w:ind w:left="714" w:hanging="357"/>
        <w:rPr>
          <w:lang w:val="en-US"/>
        </w:rPr>
      </w:pPr>
      <w:r w:rsidRPr="00BE56A8">
        <w:rPr>
          <w:lang w:val="en-US"/>
        </w:rPr>
        <w:t>measurement, indicators and assessment of circular performance.</w:t>
      </w:r>
    </w:p>
    <w:p w14:paraId="05AAAE7A" w14:textId="77777777" w:rsidR="00E827BA" w:rsidRDefault="00E827BA" w:rsidP="00E827BA">
      <w:pPr>
        <w:rPr>
          <w:b/>
          <w:bCs/>
          <w:lang w:val="en-US"/>
        </w:rPr>
      </w:pPr>
    </w:p>
    <w:p w14:paraId="7FF421D5" w14:textId="77777777" w:rsidR="00E827BA" w:rsidRPr="00BE56A8" w:rsidRDefault="00E827BA" w:rsidP="00E827BA">
      <w:pPr>
        <w:rPr>
          <w:lang w:val="en-US"/>
        </w:rPr>
      </w:pPr>
      <w:r w:rsidRPr="00BE56A8">
        <w:rPr>
          <w:b/>
          <w:bCs/>
          <w:lang w:val="en-US"/>
        </w:rPr>
        <w:t>Types of contributions</w:t>
      </w:r>
    </w:p>
    <w:p w14:paraId="53C2EC54" w14:textId="77777777" w:rsidR="00E827BA" w:rsidRPr="00BE56A8" w:rsidRDefault="00E827BA" w:rsidP="00E827BA">
      <w:pPr>
        <w:rPr>
          <w:lang w:val="en-US"/>
        </w:rPr>
      </w:pPr>
      <w:r w:rsidRPr="00BE56A8">
        <w:rPr>
          <w:lang w:val="en-US"/>
        </w:rPr>
        <w:t>The thematic issue welcomes theoretical, empirical, methodological and review papers using quantitative, qualitative, mixed-methods, comparative, case study, bibliometric or systematic review approaches.</w:t>
      </w:r>
    </w:p>
    <w:p w14:paraId="77F12768" w14:textId="77777777" w:rsidR="00E827BA" w:rsidRPr="00BE56A8" w:rsidRDefault="00E827BA" w:rsidP="00E827BA">
      <w:pPr>
        <w:rPr>
          <w:lang w:val="en-US"/>
        </w:rPr>
      </w:pPr>
      <w:r w:rsidRPr="00BE56A8">
        <w:rPr>
          <w:lang w:val="en-US"/>
        </w:rPr>
        <w:t>Submissions should offer a clear contribution to management, economics, business strategy or organizational transformation. Papers with strong theoretical contributions, robust empirical evidence, international relevance, or clear policy and managerial implications are particularly encouraged.</w:t>
      </w:r>
    </w:p>
    <w:p w14:paraId="7981B943" w14:textId="77777777" w:rsidR="00E827BA" w:rsidRPr="00BE56A8" w:rsidRDefault="00E827BA" w:rsidP="00E827BA">
      <w:pPr>
        <w:rPr>
          <w:lang w:val="en-US"/>
        </w:rPr>
      </w:pPr>
      <w:r w:rsidRPr="00BE56A8">
        <w:rPr>
          <w:b/>
          <w:bCs/>
          <w:lang w:val="en-US"/>
        </w:rPr>
        <w:lastRenderedPageBreak/>
        <w:t>Submission information</w:t>
      </w:r>
    </w:p>
    <w:p w14:paraId="00AD428B" w14:textId="77777777" w:rsidR="00E827BA" w:rsidRPr="00BE56A8" w:rsidRDefault="00E827BA" w:rsidP="00E827BA">
      <w:pPr>
        <w:rPr>
          <w:lang w:val="en-US"/>
        </w:rPr>
      </w:pPr>
      <w:r w:rsidRPr="00BE56A8">
        <w:rPr>
          <w:lang w:val="en-US"/>
        </w:rPr>
        <w:t xml:space="preserve">Manuscripts should be prepared in accordance with the journal’s </w:t>
      </w:r>
      <w:r>
        <w:rPr>
          <w:lang w:val="en-US"/>
        </w:rPr>
        <w:t>submission</w:t>
      </w:r>
      <w:r w:rsidRPr="00BE56A8">
        <w:rPr>
          <w:lang w:val="en-US"/>
        </w:rPr>
        <w:t xml:space="preserve"> guidelines and</w:t>
      </w:r>
      <w:r>
        <w:rPr>
          <w:lang w:val="en-US"/>
        </w:rPr>
        <w:t xml:space="preserve"> should be</w:t>
      </w:r>
      <w:r w:rsidRPr="00BE56A8">
        <w:rPr>
          <w:lang w:val="en-US"/>
        </w:rPr>
        <w:t xml:space="preserve"> submitted through the IJME online submission system. All submissions will undergo the journal’s standard peer-review process.</w:t>
      </w:r>
    </w:p>
    <w:p w14:paraId="577F4019" w14:textId="62B77D60" w:rsidR="00EA19A9" w:rsidRPr="00E827BA" w:rsidRDefault="00E827BA">
      <w:pPr>
        <w:rPr>
          <w:lang w:val="en-US"/>
        </w:rPr>
      </w:pPr>
      <w:r w:rsidRPr="00BE56A8">
        <w:rPr>
          <w:b/>
          <w:bCs/>
          <w:lang w:val="en-US"/>
        </w:rPr>
        <w:t>Submission deadline:</w:t>
      </w:r>
      <w:r w:rsidRPr="00BE56A8">
        <w:rPr>
          <w:lang w:val="en-US"/>
        </w:rPr>
        <w:t> October 30, 2026</w:t>
      </w:r>
      <w:r w:rsidRPr="00BE56A8">
        <w:rPr>
          <w:lang w:val="en-US"/>
        </w:rPr>
        <w:br/>
      </w:r>
      <w:r w:rsidRPr="00BE56A8">
        <w:rPr>
          <w:b/>
          <w:bCs/>
          <w:lang w:val="en-US"/>
        </w:rPr>
        <w:t>Expected publication:</w:t>
      </w:r>
      <w:r w:rsidRPr="00BE56A8">
        <w:rPr>
          <w:lang w:val="en-US"/>
        </w:rPr>
        <w:t> Spring 2027</w:t>
      </w:r>
      <w:r w:rsidRPr="00BE56A8">
        <w:rPr>
          <w:lang w:val="en-US"/>
        </w:rPr>
        <w:br/>
      </w:r>
      <w:r w:rsidRPr="00BE56A8">
        <w:rPr>
          <w:b/>
          <w:bCs/>
          <w:lang w:val="en-US"/>
        </w:rPr>
        <w:t>Guest editor(s):</w:t>
      </w:r>
      <w:r w:rsidRPr="00BE56A8">
        <w:rPr>
          <w:lang w:val="en-US"/>
        </w:rPr>
        <w:t> Professor Ewelina Szczech-Pietkiewicz, PhD - SGH Warsaw School of Economics</w:t>
      </w:r>
      <w:r w:rsidRPr="00BE56A8">
        <w:rPr>
          <w:lang w:val="en-US"/>
        </w:rPr>
        <w:br/>
      </w:r>
      <w:r w:rsidRPr="00BE56A8">
        <w:rPr>
          <w:b/>
          <w:bCs/>
          <w:lang w:val="en-US"/>
        </w:rPr>
        <w:t>Submission link:</w:t>
      </w:r>
      <w:r w:rsidRPr="00BE56A8">
        <w:rPr>
          <w:lang w:val="en-US"/>
        </w:rPr>
        <w:t> </w:t>
      </w:r>
      <w:hyperlink r:id="rId5" w:history="1">
        <w:r w:rsidRPr="00BE56A8">
          <w:rPr>
            <w:rStyle w:val="Hyperlink"/>
            <w:lang w:val="en-US"/>
          </w:rPr>
          <w:t>https://mc.manuscriptcentral.com/ijmesgh</w:t>
        </w:r>
      </w:hyperlink>
    </w:p>
    <w:sectPr w:rsidR="00EA19A9" w:rsidRPr="00E827BA" w:rsidSect="003442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005B0"/>
    <w:multiLevelType w:val="multilevel"/>
    <w:tmpl w:val="C6A0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6502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A"/>
    <w:rsid w:val="0002027F"/>
    <w:rsid w:val="00344271"/>
    <w:rsid w:val="00406847"/>
    <w:rsid w:val="008076BA"/>
    <w:rsid w:val="008A26BD"/>
    <w:rsid w:val="00921C12"/>
    <w:rsid w:val="00E827BA"/>
    <w:rsid w:val="00EA19A9"/>
    <w:rsid w:val="00F20DAF"/>
    <w:rsid w:val="00FC6E1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5C52"/>
  <w15:chartTrackingRefBased/>
  <w15:docId w15:val="{172A456A-D1CF-4AA1-BADA-EA4ED82C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7BA"/>
    <w:pPr>
      <w:spacing w:line="259" w:lineRule="auto"/>
    </w:pPr>
    <w:rPr>
      <w:rFonts w:ascii="Calibri" w:hAnsi="Calibri"/>
      <w:kern w:val="0"/>
      <w:sz w:val="22"/>
      <w:szCs w:val="22"/>
      <w:lang w:val="en-GB"/>
    </w:rPr>
  </w:style>
  <w:style w:type="paragraph" w:styleId="Heading1">
    <w:name w:val="heading 1"/>
    <w:basedOn w:val="Normal"/>
    <w:next w:val="Normal"/>
    <w:link w:val="Heading1Char"/>
    <w:uiPriority w:val="9"/>
    <w:qFormat/>
    <w:rsid w:val="00E827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7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7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27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27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2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2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2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2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7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7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7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27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27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2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2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2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27BA"/>
    <w:rPr>
      <w:rFonts w:eastAsiaTheme="majorEastAsia" w:cstheme="majorBidi"/>
      <w:color w:val="272727" w:themeColor="text1" w:themeTint="D8"/>
    </w:rPr>
  </w:style>
  <w:style w:type="paragraph" w:styleId="Title">
    <w:name w:val="Title"/>
    <w:basedOn w:val="Normal"/>
    <w:next w:val="Normal"/>
    <w:link w:val="TitleChar"/>
    <w:uiPriority w:val="10"/>
    <w:qFormat/>
    <w:rsid w:val="00E82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2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27BA"/>
    <w:pPr>
      <w:spacing w:before="160"/>
      <w:jc w:val="center"/>
    </w:pPr>
    <w:rPr>
      <w:i/>
      <w:iCs/>
      <w:color w:val="404040" w:themeColor="text1" w:themeTint="BF"/>
    </w:rPr>
  </w:style>
  <w:style w:type="character" w:customStyle="1" w:styleId="QuoteChar">
    <w:name w:val="Quote Char"/>
    <w:basedOn w:val="DefaultParagraphFont"/>
    <w:link w:val="Quote"/>
    <w:uiPriority w:val="29"/>
    <w:rsid w:val="00E827BA"/>
    <w:rPr>
      <w:i/>
      <w:iCs/>
      <w:color w:val="404040" w:themeColor="text1" w:themeTint="BF"/>
    </w:rPr>
  </w:style>
  <w:style w:type="paragraph" w:styleId="ListParagraph">
    <w:name w:val="List Paragraph"/>
    <w:basedOn w:val="Normal"/>
    <w:uiPriority w:val="34"/>
    <w:qFormat/>
    <w:rsid w:val="00E827BA"/>
    <w:pPr>
      <w:ind w:left="720"/>
      <w:contextualSpacing/>
    </w:pPr>
  </w:style>
  <w:style w:type="character" w:styleId="IntenseEmphasis">
    <w:name w:val="Intense Emphasis"/>
    <w:basedOn w:val="DefaultParagraphFont"/>
    <w:uiPriority w:val="21"/>
    <w:qFormat/>
    <w:rsid w:val="00E827BA"/>
    <w:rPr>
      <w:i/>
      <w:iCs/>
      <w:color w:val="2F5496" w:themeColor="accent1" w:themeShade="BF"/>
    </w:rPr>
  </w:style>
  <w:style w:type="paragraph" w:styleId="IntenseQuote">
    <w:name w:val="Intense Quote"/>
    <w:basedOn w:val="Normal"/>
    <w:next w:val="Normal"/>
    <w:link w:val="IntenseQuoteChar"/>
    <w:uiPriority w:val="30"/>
    <w:qFormat/>
    <w:rsid w:val="00E827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7BA"/>
    <w:rPr>
      <w:i/>
      <w:iCs/>
      <w:color w:val="2F5496" w:themeColor="accent1" w:themeShade="BF"/>
    </w:rPr>
  </w:style>
  <w:style w:type="character" w:styleId="IntenseReference">
    <w:name w:val="Intense Reference"/>
    <w:basedOn w:val="DefaultParagraphFont"/>
    <w:uiPriority w:val="32"/>
    <w:qFormat/>
    <w:rsid w:val="00E827BA"/>
    <w:rPr>
      <w:b/>
      <w:bCs/>
      <w:smallCaps/>
      <w:color w:val="2F5496" w:themeColor="accent1" w:themeShade="BF"/>
      <w:spacing w:val="5"/>
    </w:rPr>
  </w:style>
  <w:style w:type="character" w:styleId="Hyperlink">
    <w:name w:val="Hyperlink"/>
    <w:basedOn w:val="DefaultParagraphFont"/>
    <w:uiPriority w:val="99"/>
    <w:unhideWhenUsed/>
    <w:rsid w:val="00E827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c.manuscriptcentral.com/ijmesgh"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Wiśniewski</dc:creator>
  <cp:keywords/>
  <dc:description/>
  <cp:lastModifiedBy>Tomasz Wiśniewski</cp:lastModifiedBy>
  <cp:revision>1</cp:revision>
  <dcterms:created xsi:type="dcterms:W3CDTF">2026-06-26T16:51:00Z</dcterms:created>
  <dcterms:modified xsi:type="dcterms:W3CDTF">2026-06-26T16:54:00Z</dcterms:modified>
</cp:coreProperties>
</file>